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化学和农业丰收</w:t>
      </w:r>
    </w:p>
    <w:p>
      <w:r>
        <w:rPr>
          <w:rFonts w:ascii="宋体" w:hAnsi="宋体" w:eastAsia="宋体"/>
          <w:sz w:val="24"/>
        </w:rPr>
        <w:t>（苏）布扬诺夫，А.著；林约西译（福建农科院甘蔗研究所）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化学和农业丰收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（苏）布扬诺夫，А.著；林约西译（福建农科院甘蔗研究所）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本书出售、求购地址：https://www.jiaokey.com/book/detail/11162802.html</w:t>
      </w:r>
    </w:p>
    <w:p>
      <w:r>
        <w:t>更多相关图书推荐：https://www.jiaokey.com</w:t>
      </w:r>
    </w:p>
    <w:p>
      <w:r>
        <w:t>（苏）布扬诺夫，А.著；林约西译（福建农科院甘蔗研究所） 其他作品：https://www.jiaokey.com/tag/（苏）布扬诺夫，А.著；林约西译（福建农科院甘蔗研究所）.html</w:t>
      </w:r>
    </w:p>
    <w:p>
      <w:r>
        <w:t>科学技术出版社 出版图书：https://www.jiaokey.com/tag/科学技术出版社.html</w:t>
      </w:r>
    </w:p>
    <w:p>
      <w:r>
        <w:t>关键词搜索：https://www.jiaokey.com/tag/化学和农业丰收.html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