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现代企业人力资源解决方案  第5篇  薪酬体系设计</w:t>
      </w:r>
    </w:p>
    <w:p>
      <w:r>
        <w:rPr>
          <w:rFonts w:ascii="宋体" w:hAnsi="宋体" w:eastAsia="宋体"/>
          <w:sz w:val="24"/>
        </w:rPr>
        <w:t>华茂通咨询编著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现代企业人力资源解决方案  第5篇  薪酬体系设计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华茂通咨询编著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本书出售、求购地址：https://www.jiaokey.com/book/detail/11160014.html</w:t>
      </w:r>
    </w:p>
    <w:p>
      <w:r>
        <w:t>更多相关图书推荐：https://www.jiaokey.com</w:t>
      </w:r>
    </w:p>
    <w:p>
      <w:r>
        <w:t>华茂通咨询编著 其他作品：https://www.jiaokey.com/tag/华茂通咨询编著.html</w:t>
      </w:r>
    </w:p>
    <w:p>
      <w:r>
        <w:t>中国物资出版社 出版图书：https://www.jiaokey.com/tag/中国物资出版社.html</w:t>
      </w:r>
    </w:p>
    <w:p>
      <w:r>
        <w:t>关键词搜索：https://www.jiaokey.com/tag/现代企业人力资源解决方案  第5篇  薪酬体系设计.html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