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公共文化体育设施条例释义</w:t>
      </w:r>
    </w:p>
    <w:p>
      <w:r>
        <w:rPr>
          <w:rFonts w:ascii="宋体" w:hAnsi="宋体" w:eastAsia="宋体"/>
          <w:sz w:val="24"/>
        </w:rPr>
        <w:t>刘晓霞，张剑，雷喜宁主编；卫虹霞，王鹤云，李仕玉等编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公共文化体育设施条例释义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刘晓霞，张剑，雷喜宁主编；卫虹霞，王鹤云，李仕玉等编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本书出售、求购地址：https://www.jiaokey.com/book/detail/11157118.html</w:t>
      </w:r>
    </w:p>
    <w:p>
      <w:r>
        <w:t>更多相关图书推荐：https://www.jiaokey.com</w:t>
      </w:r>
    </w:p>
    <w:p>
      <w:r>
        <w:t>刘晓霞，张剑，雷喜宁主编；卫虹霞，王鹤云，李仕玉等编 其他作品：https://www.jiaokey.com/tag/刘晓霞，张剑，雷喜宁主编；卫虹霞，王鹤云，李仕玉等编.html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关键词搜索：https://www.jiaokey.com/tag/公共文化体育设施条例释义.html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