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磷脂膜色谱及其在生物药学剂学中的应用</w:t>
      </w:r>
    </w:p>
    <w:p>
      <w:r>
        <w:rPr>
          <w:rFonts w:ascii="宋体" w:hAnsi="宋体" w:eastAsia="宋体"/>
          <w:sz w:val="24"/>
        </w:rPr>
        <w:t>孙进，王淑君，程刚，陈济民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磷脂膜色谱及其在生物药学剂学中的应用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孙进，王淑君，程刚，陈济民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本书出售、求购地址：https://www.jiaokey.com/book/detail/11155625.html</w:t>
      </w:r>
    </w:p>
    <w:p>
      <w:r>
        <w:t>更多相关图书推荐：https://www.jiaokey.com</w:t>
      </w:r>
    </w:p>
    <w:p>
      <w:r>
        <w:t>孙进，王淑君，程刚，陈济民 其他作品：https://www.jiaokey.com/tag/孙进，王淑君，程刚，陈济民.html</w:t>
      </w:r>
    </w:p>
    <w:p>
      <w:r>
        <w:t>关键词搜索：https://www.jiaokey.com/tag/磷脂膜色谱及其在生物药学剂学中的应用.html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