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永久和短时的发光材料</w:t>
      </w:r>
    </w:p>
    <w:p>
      <w:r>
        <w:rPr>
          <w:rFonts w:ascii="宋体" w:hAnsi="宋体" w:eastAsia="宋体"/>
          <w:sz w:val="24"/>
        </w:rPr>
        <w:t>C.A.弗利特曼 A.A.切利聂夫著；许少鸿译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永久和短时的发光材料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C.A.弗利特曼 A.A.切利聂夫著；许少鸿译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本书出售、求购地址：https://www.jiaokey.com/book/detail/11150068.html</w:t>
      </w:r>
    </w:p>
    <w:p>
      <w:r>
        <w:t>更多相关图书推荐：https://www.jiaokey.com</w:t>
      </w:r>
    </w:p>
    <w:p>
      <w:r>
        <w:t>C.A.弗利特曼 A.A.切利聂夫著；许少鸿译 其他作品：https://www.jiaokey.com/tag/C.A.弗利特曼 A.A.切利聂夫著；许少鸿译.html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关键词搜索：https://www.jiaokey.com/tag/永久和短时的发光材料.html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