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血液化学分析法</w:t>
      </w:r>
    </w:p>
    <w:p>
      <w:r>
        <w:rPr>
          <w:rFonts w:ascii="宋体" w:hAnsi="宋体" w:eastAsia="宋体"/>
          <w:sz w:val="24"/>
        </w:rPr>
        <w:t>（苏）巴拉荷夫斯基（С.Д.Балаховский），（苏）巴拉荷夫斯基（И.С.Балаховский）著；天津医学院生化教研组等译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血液化学分析法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（苏）巴拉荷夫斯基（С.Д.Балаховский），（苏）巴拉荷夫斯基（И.С.Балаховский）著；天津医学院生化教研组等译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本书出售、求购地址：https://www.jiaokey.com/book/detail/11149843.html</w:t>
      </w:r>
    </w:p>
    <w:p>
      <w:r>
        <w:t>更多相关图书推荐：https://www.jiaokey.com</w:t>
      </w:r>
    </w:p>
    <w:p>
      <w:r>
        <w:t>（苏）巴拉荷夫斯基（С.Д.Балаховский），（苏）巴拉荷夫斯基（И.С.Балаховский）著；天津医学院生化教研组等译 其他作品：https://www.jiaokey.com/tag/（苏）巴拉荷夫斯基（С.Д.Балаховский），（苏）巴拉荷夫斯基（И.С.Балаховский）著；天津医学院生化教研组等译.html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关键词搜索：https://www.jiaokey.com/tag/血液化学分析法.html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