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沃特豪斯画风</w:t>
      </w:r>
    </w:p>
    <w:p>
      <w:r>
        <w:rPr>
          <w:rFonts w:ascii="宋体" w:hAnsi="宋体" w:eastAsia="宋体"/>
          <w:sz w:val="24"/>
        </w:rPr>
        <w:t>（英）约翰·威廉·沃特豪斯绘；王剑等编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沃特豪斯画风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（英）约翰·威廉·沃特豪斯绘；王剑等编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本书出售、求购地址：https://www.jiaokey.com/book/detail/11149463.html</w:t>
      </w:r>
    </w:p>
    <w:p>
      <w:r>
        <w:t>更多相关图书推荐：https://www.jiaokey.com</w:t>
      </w:r>
    </w:p>
    <w:p>
      <w:r>
        <w:t>（英）约翰·威廉·沃特豪斯绘；王剑等编 其他作品：https://www.jiaokey.com/tag/（英）约翰·威廉·沃特豪斯绘；王剑等编.html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关键词搜索：https://www.jiaokey.com/tag/沃特豪斯画风.html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