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论普通钢筋混凝土和预加应力钢筋混凝土静不定结构中的内力重分布</w:t>
      </w:r>
    </w:p>
    <w:p>
      <w:r>
        <w:rPr>
          <w:rFonts w:ascii="宋体" w:hAnsi="宋体" w:eastAsia="宋体"/>
          <w:sz w:val="24"/>
        </w:rPr>
        <w:t>（苏）格沃斯捷夫（А.А.Гвоздев）著；笛鸣，行健译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论普通钢筋混凝土和预加应力钢筋混凝土静不定结构中的内力重分布</w:t>
            </w:r>
          </w:p>
        </w:tc>
      </w:tr>
      <w:tr>
        <w:tc>
          <w:tcPr>
            <w:tcW w:type="dxa" w:w="4320"/>
          </w:tcPr>
          <w:p>
            <w:r>
              <w:t>作者</w:t>
            </w:r>
          </w:p>
        </w:tc>
        <w:tc>
          <w:tcPr>
            <w:tcW w:type="dxa" w:w="4320"/>
          </w:tcPr>
          <w:p>
            <w:r>
              <w:t>（苏）格沃斯捷夫（А.А.Гвоздев）著；笛鸣，行健译</w:t>
            </w:r>
          </w:p>
        </w:tc>
      </w:tr>
      <w:tr>
        <w:tc>
          <w:tcPr>
            <w:tcW w:type="dxa" w:w="4320"/>
          </w:tcPr>
          <w:p>
            <w:r>
              <w:t>出版社</w:t>
            </w:r>
          </w:p>
        </w:tc>
        <w:tc>
          <w:tcPr>
            <w:tcW w:type="dxa" w:w="4320"/>
          </w:tcPr>
          <w:p>
            <w:r>
              <w:t>北京：建筑工程出版社</w:t>
            </w:r>
          </w:p>
        </w:tc>
      </w:tr>
      <w:tr>
        <w:tc>
          <w:tcPr>
            <w:tcW w:type="dxa" w:w="4320"/>
          </w:tcPr>
          <w:p>
            <w:r>
              <w:t>ISBN</w:t>
            </w:r>
          </w:p>
        </w:tc>
        <w:tc>
          <w:tcPr>
            <w:tcW w:type="dxa" w:w="4320"/>
          </w:tcPr>
          <w:p>
            <w:r/>
          </w:p>
        </w:tc>
      </w:tr>
      <w:tr>
        <w:tc>
          <w:tcPr>
            <w:tcW w:type="dxa" w:w="4320"/>
          </w:tcPr>
          <w:p>
            <w:r>
              <w:t>出版日期</w:t>
            </w:r>
          </w:p>
        </w:tc>
        <w:tc>
          <w:tcPr>
            <w:tcW w:type="dxa" w:w="4320"/>
          </w:tcPr>
          <w:p>
            <w:r>
              <w:t>1956-01-01</w:t>
            </w:r>
          </w:p>
        </w:tc>
      </w:tr>
      <w:tr>
        <w:tc>
          <w:tcPr>
            <w:tcW w:type="dxa" w:w="4320"/>
          </w:tcPr>
          <w:p>
            <w:r>
              <w:t>页数</w:t>
            </w:r>
          </w:p>
        </w:tc>
        <w:tc>
          <w:tcPr>
            <w:tcW w:type="dxa" w:w="4320"/>
          </w:tcPr>
          <w:p>
            <w:r>
              <w:t>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本书出售、求购地址：https://www.jiaokey.com/book/detail/11148078.html</w:t>
      </w:r>
    </w:p>
    <w:p>
      <w:r>
        <w:t>更多相关图书推荐：https://www.jiaokey.com</w:t>
      </w:r>
    </w:p>
    <w:p>
      <w:r>
        <w:t>（苏）格沃斯捷夫（А.А.Гвоздев）著；笛鸣，行健译 其他作品：https://www.jiaokey.com/tag/（苏）格沃斯捷夫（А.А.Гвоздев）著；笛鸣，行健译.html</w:t>
      </w:r>
    </w:p>
    <w:p>
      <w:r>
        <w:t>北京：建筑工程出版社 出版图书：https://www.jiaokey.com/tag/北京：建筑工程出版社.html</w:t>
      </w:r>
    </w:p>
    <w:p>
      <w:r>
        <w:t>关键词搜索：https://www.jiaokey.com/tag/论普通钢筋混凝土和预加应力钢筋混凝土静不定结构中的内力重分布.html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