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联责计奖制</w:t>
      </w:r>
    </w:p>
    <w:p>
      <w:r>
        <w:rPr>
          <w:rFonts w:ascii="宋体" w:hAnsi="宋体" w:eastAsia="宋体"/>
          <w:sz w:val="24"/>
        </w:rPr>
        <w:t>上海合金厂编写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联责计奖制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上海合金厂编写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上海市仪表电讯工业局科技情报研究所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本书出售、求购地址：https://www.jiaokey.com/book/detail/11147973.html</w:t>
      </w:r>
    </w:p>
    <w:p>
      <w:r>
        <w:t>更多相关图书推荐：https://www.jiaokey.com</w:t>
      </w:r>
    </w:p>
    <w:p>
      <w:r>
        <w:t>上海合金厂编写 其他作品：https://www.jiaokey.com/tag/上海合金厂编写.html</w:t>
      </w:r>
    </w:p>
    <w:p>
      <w:r>
        <w:t>上海市仪表电讯工业局科技情报研究所 出版图书：https://www.jiaokey.com/tag/上海市仪表电讯工业局科技情报研究所.html</w:t>
      </w:r>
    </w:p>
    <w:p>
      <w:r>
        <w:t>关键词搜索：https://www.jiaokey.com/tag/联责计奖制.html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