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国际货运有关法规的应用</w:t>
      </w:r>
    </w:p>
    <w:p>
      <w:r>
        <w:rPr>
          <w:rFonts w:ascii="宋体" w:hAnsi="宋体" w:eastAsia="宋体"/>
          <w:sz w:val="24"/>
        </w:rPr>
        <w:t>邱志华编译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国际货运有关法规的应用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本书出售、求购地址：https://www.jiaokey.com/book/detail/11147203.html</w:t>
      </w:r>
    </w:p>
    <w:p>
      <w:r>
        <w:t>更多相关图书推荐：https://www.jiaokey.com</w:t>
      </w:r>
    </w:p>
    <w:p>
      <w:r>
        <w:t>邱志华编译 其他作品：https://www.jiaokey.com/tag/邱志华编译.html</w:t>
      </w:r>
    </w:p>
    <w:p>
      <w:r>
        <w:t>关键词搜索：https://www.jiaokey.com/tag/国际货运有关法规的应用.html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