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专利、商标、版权和工业品外观设计须知</w:t>
      </w:r>
    </w:p>
    <w:p>
      <w:r>
        <w:rPr>
          <w:rFonts w:ascii="宋体" w:hAnsi="宋体" w:eastAsia="宋体"/>
          <w:sz w:val="24"/>
        </w:rPr>
        <w:t>（英）布兰科·怀特，罗宾·雅各布，杰里米·第·戴维斯著；王正发译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专利、商标、版权和工业品外观设计须知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（英）布兰科·怀特，罗宾·雅各布，杰里米·第·戴维斯著；王正发译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本书出售、求购地址：https://www.jiaokey.com/book/detail/11145214.html</w:t>
      </w:r>
    </w:p>
    <w:p>
      <w:r>
        <w:t>更多相关图书推荐：https://www.jiaokey.com</w:t>
      </w:r>
    </w:p>
    <w:p>
      <w:r>
        <w:t>（英）布兰科·怀特，罗宾·雅各布，杰里米·第·戴维斯著；王正发译 其他作品：https://www.jiaokey.com/tag/（英）布兰科·怀特，罗宾·雅各布，杰里米·第·戴维斯著；王正发译.html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关键词搜索：https://www.jiaokey.com/tag/专利、商标、版权和工业品外观设计须知.html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