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西藏今昔</w:t>
      </w:r>
    </w:p>
    <w:p>
      <w:r>
        <w:rPr>
          <w:rFonts w:ascii="宋体" w:hAnsi="宋体" w:eastAsia="宋体"/>
          <w:sz w:val="24"/>
        </w:rPr>
        <w:t>王天玺主编；国家民族事务委员会，政策研究室、政法司编著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王天玺主编；国家民族事务委员会，政策研究室、政法司编著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本书出售、求购地址：https://www.jiaokey.com/book/detail/11144931.html</w:t>
      </w:r>
    </w:p>
    <w:p>
      <w:r>
        <w:t>更多相关图书推荐：https://www.jiaokey.com</w:t>
      </w:r>
    </w:p>
    <w:p>
      <w:r>
        <w:t>王天玺主编；国家民族事务委员会，政策研究室、政法司编著 其他作品：https://www.jiaokey.com/tag/王天玺主编；国家民族事务委员会，政策研究室、政法司编著.html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关键词搜索：https://www.jiaokey.com/tag/西藏今昔.html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