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确定波浪对海、河建设物与岸坡作用的技术规范</w:t>
      </w:r>
    </w:p>
    <w:p>
      <w:r>
        <w:rPr>
          <w:rFonts w:ascii="宋体" w:hAnsi="宋体" w:eastAsia="宋体"/>
          <w:sz w:val="24"/>
        </w:rPr>
        <w:t>苏联部长会议国家建设委员会批准，南京水利科学研究所华东水利学院译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确定波浪对海、河建设物与岸坡作用的技术规范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苏联部长会议国家建设委员会批准，南京水利科学研究所华东水利学院译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本书出售、求购地址：https://www.jiaokey.com/book/detail/11139201.html</w:t>
      </w:r>
    </w:p>
    <w:p>
      <w:r>
        <w:t>更多相关图书推荐：https://www.jiaokey.com</w:t>
      </w:r>
    </w:p>
    <w:p>
      <w:r>
        <w:t>苏联部长会议国家建设委员会批准，南京水利科学研究所华东水利学院译 其他作品：https://www.jiaokey.com/tag/苏联部长会议国家建设委员会批准，南京水利科学研究所华东水利学院译.html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关键词搜索：https://www.jiaokey.com/tag/确定波浪对海、河建设物与岸坡作用的技术规范.html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