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黄土与黄土状亚粘土的建筑性质</w:t>
      </w:r>
    </w:p>
    <w:p>
      <w:r>
        <w:rPr>
          <w:rFonts w:ascii="宋体" w:hAnsi="宋体" w:eastAsia="宋体"/>
          <w:sz w:val="24"/>
        </w:rPr>
        <w:t>（苏）捷尼索夫（Н.Я.Денисов）著；中国科学院土木建筑研究所等译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黄土与黄土状亚粘土的建筑性质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（苏）捷尼索夫（Н.Я.Денисов）著；中国科学院土木建筑研究所等译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本书出售、求购地址：https://www.jiaokey.com/book/detail/11138785.html</w:t>
      </w:r>
    </w:p>
    <w:p>
      <w:r>
        <w:t>更多相关图书推荐：https://www.jiaokey.com</w:t>
      </w:r>
    </w:p>
    <w:p>
      <w:r>
        <w:t>（苏）捷尼索夫（Н.Я.Денисов）著；中国科学院土木建筑研究所等译 其他作品：https://www.jiaokey.com/tag/（苏）捷尼索夫（Н.Я.Денисов）著；中国科学院土木建筑研究所等译.html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关键词搜索：https://www.jiaokey.com/tag/黄土与黄土状亚粘土的建筑性质.html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