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美国：对某些虾及虾制品的进口限制案</w:t>
      </w:r>
    </w:p>
    <w:p>
      <w:r>
        <w:rPr>
          <w:rFonts w:ascii="宋体" w:hAnsi="宋体" w:eastAsia="宋体"/>
          <w:sz w:val="24"/>
        </w:rPr>
        <w:t>赵维田主编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6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美国：对某些虾及虾制品的进口限制案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虾类(学科:水产品学科:进口学科:国际贸易学科:案例学科:分析地点:美国)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本书出售、求购地址：https://www.jiaokey.com/book/detail/11136135.html</w:t>
      </w:r>
    </w:p>
    <w:p>
      <w:r>
        <w:t>更多相关图书推荐：https://www.jiaokey.com</w:t>
      </w:r>
    </w:p>
    <w:p>
      <w:r>
        <w:t>赵维田主编 其他作品：https://www.jiaokey.com/tag/赵维田主编.html</w:t>
      </w:r>
    </w:p>
    <w:p>
      <w:r>
        <w:t>上海:上海人民出版社,2003.10 出版图书：https://www.jiaokey.com/tag/上海:上海人民出版社,2003.10.html</w:t>
      </w:r>
    </w:p>
    <w:p>
      <w:r>
        <w:t>关键词搜索：https://www.jiaokey.com/tag/虾类(学科:水产品学科:进口学科:国际贸易学科:案例学科:分析地点:美国).html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