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用于建筑设计的相互作用计算机制图法</w:t>
      </w:r>
    </w:p>
    <w:p>
      <w:r>
        <w:rPr>
          <w:rFonts w:ascii="宋体" w:hAnsi="宋体" w:eastAsia="宋体"/>
          <w:sz w:val="24"/>
        </w:rPr>
        <w:t>李启文著；同济大学建筑系工业建筑教研室译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用于建筑设计的相互作用计算机制图法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李启文著；同济大学建筑系工业建筑教研室译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本书出售、求购地址：https://www.jiaokey.com/book/detail/11132947.html</w:t>
      </w:r>
    </w:p>
    <w:p>
      <w:r>
        <w:t>更多相关图书推荐：https://www.jiaokey.com</w:t>
      </w:r>
    </w:p>
    <w:p>
      <w:r>
        <w:t>李启文著；同济大学建筑系工业建筑教研室译 其他作品：https://www.jiaokey.com/tag/李启文著；同济大学建筑系工业建筑教研室译.html</w:t>
      </w:r>
    </w:p>
    <w:p>
      <w:r>
        <w:t>关键词搜索：https://www.jiaokey.com/tag/用于建筑设计的相互作用计算机制图法.html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