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火药火箭弹设计原理</w:t>
      </w:r>
    </w:p>
    <w:p>
      <w:r>
        <w:rPr>
          <w:rFonts w:ascii="宋体" w:hAnsi="宋体" w:eastAsia="宋体"/>
          <w:sz w:val="24"/>
        </w:rPr>
        <w:t>（苏）库洛夫，В.Д.，（苏）多尔让斯基，Ю.М.著；陈国兴等译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火药火箭弹设计原理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（苏）库洛夫，В.Д.，（苏）多尔让斯基，Ю.М.著；陈国兴等译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本书出售、求购地址：https://www.jiaokey.com/book/detail/11131221.html</w:t>
      </w:r>
    </w:p>
    <w:p>
      <w:r>
        <w:t>更多相关图书推荐：https://www.jiaokey.com</w:t>
      </w:r>
    </w:p>
    <w:p>
      <w:r>
        <w:t>（苏）库洛夫，В.Д.，（苏）多尔让斯基，Ю.М.著；陈国兴等译 其他作品：https://www.jiaokey.com/tag/（苏）库洛夫，В.Д.，（苏）多尔让斯基，Ю.М.著；陈国兴等译.html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关键词搜索：https://www.jiaokey.com/tag/火药火箭弹设计原理.html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