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萨特和波伏瓦的共同道路</w:t>
      </w:r>
    </w:p>
    <w:p>
      <w:r>
        <w:rPr>
          <w:rFonts w:ascii="宋体" w:hAnsi="宋体" w:eastAsia="宋体"/>
          <w:sz w:val="24"/>
        </w:rPr>
        <w:t>（美）马德森（Madson，A.）著；刘u3000阳等译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萨特和波伏瓦的共同道路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（美）马德森（Madson，A.）著；刘u3000阳等译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本书出售、求购地址：https://www.jiaokey.com/book/detail/11131165.html</w:t>
      </w:r>
    </w:p>
    <w:p>
      <w:r>
        <w:t>更多相关图书推荐：https://www.jiaokey.com</w:t>
      </w:r>
    </w:p>
    <w:p>
      <w:r>
        <w:t>（美）马德森（Madson，A.）著；刘u3000阳等译 其他作品：https://www.jiaokey.com/tag/（美）马德森（Madson，A.）著；刘u3000阳等译.html</w:t>
      </w:r>
    </w:p>
    <w:p>
      <w:r>
        <w:t>华岳文艺出版社 出版图书：https://www.jiaokey.com/tag/华岳文艺出版社.html</w:t>
      </w:r>
    </w:p>
    <w:p>
      <w:r>
        <w:t>关键词搜索：https://www.jiaokey.com/tag/萨特和波伏瓦的共同道路.html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