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水产系统计划内造船造机物资消耗定额汇编</w:t>
      </w:r>
    </w:p>
    <w:p>
      <w:r>
        <w:rPr>
          <w:rFonts w:ascii="宋体" w:hAnsi="宋体" w:eastAsia="宋体"/>
          <w:sz w:val="24"/>
        </w:rPr>
        <w:t>渔业机械行业协会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水产系统计划内造船造机物资消耗定额汇编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渔业机械行业协会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本书出售、求购地址：https://www.jiaokey.com/book/detail/11128280.html</w:t>
      </w:r>
    </w:p>
    <w:p>
      <w:r>
        <w:t>更多相关图书推荐：https://www.jiaokey.com</w:t>
      </w:r>
    </w:p>
    <w:p>
      <w:r>
        <w:t>渔业机械行业协会 其他作品：https://www.jiaokey.com/tag/渔业机械行业协会.html</w:t>
      </w:r>
    </w:p>
    <w:p>
      <w:r>
        <w:t>关键词搜索：https://www.jiaokey.com/tag/水产系统计划内造船造机物资消耗定额汇编.html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