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486系列数据手册·应用说明·开发工具  下  第2部分</w:t>
      </w:r>
    </w:p>
    <w:p>
      <w:r>
        <w:rPr>
          <w:rFonts w:ascii="宋体" w:hAnsi="宋体" w:eastAsia="宋体"/>
          <w:sz w:val="24"/>
        </w:rPr>
        <w:t>Intel公司著；周红群，程钧之，张纪罗，夏仁霖等译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486系列数据手册·应用说明·开发工具  下  第2部分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Intel公司著；周红群，程钧之，张纪罗，夏仁霖等译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本书出售、求购地址：https://www.jiaokey.com/book/detail/11126385.html</w:t>
      </w:r>
    </w:p>
    <w:p>
      <w:r>
        <w:t>更多相关图书推荐：https://www.jiaokey.com</w:t>
      </w:r>
    </w:p>
    <w:p>
      <w:r>
        <w:t>Intel公司著；周红群，程钧之，张纪罗，夏仁霖等译 其他作品：https://www.jiaokey.com/tag/Intel公司著；周红群，程钧之，张纪罗，夏仁霖等译.html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关键词搜索：https://www.jiaokey.com/tag/486系列数据手册·应用说明·开发工具  下  第2部分.html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