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活性污泥数学模型</w:t>
      </w:r>
    </w:p>
    <w:p>
      <w:r>
        <w:rPr>
          <w:rFonts w:ascii="宋体" w:hAnsi="宋体" w:eastAsia="宋体"/>
          <w:sz w:val="24"/>
        </w:rPr>
        <w:t>国际水协废水生物处理设计与运行数学模型课题组著；张亚雷，李咏梅译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活性污泥数学模型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国际水协废水生物处理设计与运行数学模型课题组著；张亚雷，李咏梅译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本书出售、求购地址：https://www.jiaokey.com/book/detail/11125713.html</w:t>
      </w:r>
    </w:p>
    <w:p>
      <w:r>
        <w:t>更多相关图书推荐：https://www.jiaokey.com</w:t>
      </w:r>
    </w:p>
    <w:p>
      <w:r>
        <w:t>国际水协废水生物处理设计与运行数学模型课题组著；张亚雷，李咏梅译 其他作品：https://www.jiaokey.com/tag/国际水协废水生物处理设计与运行数学模型课题组著；张亚雷，李咏梅译.html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关键词搜索：https://www.jiaokey.com/tag/活性污泥数学模型.html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