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  产业损害幅度测算方法</w:t>
      </w:r>
    </w:p>
    <w:p>
      <w:r>
        <w:rPr>
          <w:rFonts w:ascii="宋体" w:hAnsi="宋体" w:eastAsia="宋体"/>
          <w:sz w:val="24"/>
        </w:rPr>
        <w:t>产业损害程度理论与计算方法课题组著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  产业损害幅度测算方法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产业损害程度理论与计算方法课题组著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本书出售、求购地址：https://www.jiaokey.com/book/detail/11123020.html</w:t>
      </w:r>
    </w:p>
    <w:p>
      <w:r>
        <w:t>更多相关图书推荐：https://www.jiaokey.com</w:t>
      </w:r>
    </w:p>
    <w:p>
      <w:r>
        <w:t>产业损害程度理论与计算方法课题组著 其他作品：https://www.jiaokey.com/tag/产业损害程度理论与计算方法课题组著.html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关键词搜索：https://www.jiaokey.com/tag/中国反倾销  产业损害幅度测算方法.html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