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“完善温州投资环境”研讨会交流材料  16  工业管理制度创新  是重组工业经济发展新优势的有效载体</w:t>
      </w:r>
    </w:p>
    <w:p>
      <w:r>
        <w:rPr>
          <w:rFonts w:ascii="宋体" w:hAnsi="宋体" w:eastAsia="宋体"/>
          <w:sz w:val="24"/>
        </w:rPr>
        <w:t>姜振尧，曾云礼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“完善温州投资环境”研讨会交流材料  16  工业管理制度创新  是重组工业经济发展新优势的有效载体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姜振尧，曾云礼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本书出售、求购地址：https://www.jiaokey.com/book/detail/11119770.html</w:t>
      </w:r>
    </w:p>
    <w:p>
      <w:r>
        <w:t>更多相关图书推荐：https://www.jiaokey.com</w:t>
      </w:r>
    </w:p>
    <w:p>
      <w:r>
        <w:t>姜振尧，曾云礼 其他作品：https://www.jiaokey.com/tag/姜振尧，曾云礼.html</w:t>
      </w:r>
    </w:p>
    <w:p>
      <w:r>
        <w:t>关键词搜索：https://www.jiaokey.com/tag/“完善温州投资环境”研讨会交流材料  16  工业管理制度创新  是重组工业经济发展新优势的有效载体.html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