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尼采与后现代主义</w:t>
      </w:r>
    </w:p>
    <w:p>
      <w:r>
        <w:rPr>
          <w:rFonts w:ascii="宋体" w:hAnsi="宋体" w:eastAsia="宋体"/>
          <w:sz w:val="24"/>
        </w:rPr>
        <w:t>戴夫·罗宾森著；Dave Robinson 陈怀恩译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尼采与后现代主义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戴夫·罗宾森著；Dave Robinson 陈怀恩译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本书出售、求购地址：https://www.jiaokey.com/book/detail/11116067.html</w:t>
      </w:r>
    </w:p>
    <w:p>
      <w:r>
        <w:t>更多相关图书推荐：https://www.jiaokey.com</w:t>
      </w:r>
    </w:p>
    <w:p>
      <w:r>
        <w:t>戴夫·罗宾森著；Dave Robinson 陈怀恩译 其他作品：https://www.jiaokey.com/tag/戴夫·罗宾森著；Dave Robinson 陈怀恩译.html</w:t>
      </w:r>
    </w:p>
    <w:p>
      <w:r>
        <w:t>猫头鹰出版社 出版图书：https://www.jiaokey.com/tag/猫头鹰出版社.html</w:t>
      </w:r>
    </w:p>
    <w:p>
      <w:r>
        <w:t>关键词搜索：https://www.jiaokey.com/tag/尼采与后现代主义.html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