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居家园艺花卉设计：享受混合栽培花草的乐趣</w:t>
      </w:r>
    </w:p>
    <w:p>
      <w:r>
        <w:rPr>
          <w:rFonts w:ascii="宋体" w:hAnsi="宋体" w:eastAsia="宋体"/>
          <w:sz w:val="24"/>
        </w:rPr>
        <w:t>井田洋介等著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居家园艺花卉设计：享受混合栽培花草的乐趣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井田洋介等著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香港：畅文出版社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本书出售、求购地址：https://www.jiaokey.com/book/detail/11116056.html</w:t>
      </w:r>
    </w:p>
    <w:p>
      <w:r>
        <w:t>更多相关图书推荐：https://www.jiaokey.com</w:t>
      </w:r>
    </w:p>
    <w:p>
      <w:r>
        <w:t>井田洋介等著 其他作品：https://www.jiaokey.com/tag/井田洋介等著.html</w:t>
      </w:r>
    </w:p>
    <w:p>
      <w:r>
        <w:t>香港：畅文出版社 出版图书：https://www.jiaokey.com/tag/香港：畅文出版社.html</w:t>
      </w:r>
    </w:p>
    <w:p>
      <w:r>
        <w:t>关键词搜索：https://www.jiaokey.com/tag/居家园艺花卉设计：享受混合栽培花草的乐趣.html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