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生活，该适可而止</w:t>
      </w:r>
    </w:p>
    <w:p>
      <w:r>
        <w:rPr>
          <w:rFonts w:ascii="宋体" w:hAnsi="宋体" w:eastAsia="宋体"/>
          <w:sz w:val="24"/>
        </w:rPr>
        <w:t>（美）大卫·冈得斯（David Kundtz）著；王秀婷译（美国加州柏克莱“内心追寻研讨会”）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生活，该适可而止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（美）大卫·冈得斯（David Kundtz）著；王秀婷译（美国加州柏克莱“内心追寻研讨会”）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本书出售、求购地址：https://www.jiaokey.com/book/detail/11113948.html</w:t>
      </w:r>
    </w:p>
    <w:p>
      <w:r>
        <w:t>更多相关图书推荐：https://www.jiaokey.com</w:t>
      </w:r>
    </w:p>
    <w:p>
      <w:r>
        <w:t>（美）大卫·冈得斯（David Kundtz）著；王秀婷译（美国加州柏克莱“内心追寻研讨会”） 其他作品：https://www.jiaokey.com/tag/（美）大卫·冈得斯（David Kundtz）著；王秀婷译（美国加州柏克莱“内心追寻研讨会”）.html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关键词搜索：https://www.jiaokey.com/tag/生活，该适可而止.html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