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</w:t>
      </w:r>
    </w:p>
    <w:p>
      <w:r>
        <w:rPr>
          <w:rFonts w:ascii="宋体" w:hAnsi="宋体" w:eastAsia="宋体"/>
          <w:sz w:val="24"/>
        </w:rPr>
        <w:t>（美）安妮·安娜斯塔西（Anne Anastasi），（美）苏珊娜·厄比纳（Susana Urbina）著；缪小春，竺培梁译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（美）安妮·安娜斯塔西（Anne Anastasi），（美）苏珊娜·厄比纳（Susana Urbina）著；缪小春，竺培梁译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本书出售、求购地址：https://www.jiaokey.com/book/detail/11108976.html</w:t>
      </w:r>
    </w:p>
    <w:p>
      <w:r>
        <w:t>更多相关图书推荐：https://www.jiaokey.com</w:t>
      </w:r>
    </w:p>
    <w:p>
      <w:r>
        <w:t>（美）安妮·安娜斯塔西（Anne Anastasi），（美）苏珊娜·厄比纳（Susana Urbina）著；缪小春，竺培梁译 其他作品：https://www.jiaokey.com/tag/（美）安妮·安娜斯塔西（Anne Anastasi），（美）苏珊娜·厄比纳（Susana Urbina）著；缪小春，竺培梁译.html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