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互联网品牌策略</w:t>
      </w:r>
    </w:p>
    <w:p>
      <w:r>
        <w:rPr>
          <w:rFonts w:ascii="宋体" w:hAnsi="宋体" w:eastAsia="宋体"/>
          <w:sz w:val="24"/>
        </w:rPr>
        <w:t>马丁·林兹乔姆（Martin Lindstrom），蒂姆·弗兰克·安德森（Tim Frank Andersen）著；陈贤浩等译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互联网品牌策略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马丁·林兹乔姆（Martin Lindstrom），蒂姆·弗兰克·安德森（Tim Frank Andersen）著；陈贤浩等译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本书出售、求购地址：https://www.jiaokey.com/book/detail/11107330.html</w:t>
      </w:r>
    </w:p>
    <w:p>
      <w:r>
        <w:t>更多相关图书推荐：https://www.jiaokey.com</w:t>
      </w:r>
    </w:p>
    <w:p>
      <w:r>
        <w:t>马丁·林兹乔姆（Martin Lindstrom），蒂姆·弗兰克·安德森（Tim Frank Andersen）著；陈贤浩等译 其他作品：https://www.jiaokey.com/tag/马丁·林兹乔姆（Martin Lindstrom），蒂姆·弗兰克·安德森（Tim Frank Andersen）著；陈贤浩等译.html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关键词搜索：https://www.jiaokey.com/tag/互联网品牌策略.html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