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本能的缪斯  激活潜在的艺术灵性</w:t>
      </w:r>
    </w:p>
    <w:p>
      <w:r>
        <w:rPr>
          <w:rFonts w:ascii="宋体" w:hAnsi="宋体" w:eastAsia="宋体"/>
          <w:sz w:val="24"/>
        </w:rPr>
        <w:t>（挪威）让—罗尔·布约克沃尔德（Jon-Rpar Bjorkvold） 王毅等译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本能的缪斯  激活潜在的艺术灵性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（挪威）让—罗尔·布约克沃尔德（Jon-Rpar Bjorkvold） 王毅等译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本书出售、求购地址：https://www.jiaokey.com/book/detail/11106551.html</w:t>
      </w:r>
    </w:p>
    <w:p>
      <w:r>
        <w:t>更多相关图书推荐：https://www.jiaokey.com</w:t>
      </w:r>
    </w:p>
    <w:p>
      <w:r>
        <w:t>（挪威）让—罗尔·布约克沃尔德（Jon-Rpar Bjorkvold） 王毅等译 其他作品：https://www.jiaokey.com/tag/（挪威）让—罗尔·布约克沃尔德（Jon-Rpar Bjorkvold） 王毅等译.html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关键词搜索：https://www.jiaokey.com/tag/本能的缪斯  激活潜在的艺术灵性.html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