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公共空间·公共生活</w:t>
      </w:r>
    </w:p>
    <w:p>
      <w:r>
        <w:rPr>
          <w:rFonts w:ascii="宋体" w:hAnsi="宋体" w:eastAsia="宋体"/>
          <w:sz w:val="24"/>
        </w:rPr>
        <w:t>（丹）杨·盖尔（Jan Gehl），（丹）拉尔斯·吉姆松（Lars Gemzoe）著；汤羽扬等译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公共空间·公共生活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（丹）杨·盖尔（Jan Gehl），（丹）拉尔斯·吉姆松（Lars Gemzoe）著；汤羽扬等译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本书出售、求购地址：https://www.jiaokey.com/book/detail/11106072.html</w:t>
      </w:r>
    </w:p>
    <w:p>
      <w:r>
        <w:t>更多相关图书推荐：https://www.jiaokey.com</w:t>
      </w:r>
    </w:p>
    <w:p>
      <w:r>
        <w:t>（丹）杨·盖尔（Jan Gehl），（丹）拉尔斯·吉姆松（Lars Gemzoe）著；汤羽扬等译 其他作品：https://www.jiaokey.com/tag/（丹）杨·盖尔（Jan Gehl），（丹）拉尔斯·吉姆松（Lars Gemzoe）著；汤羽扬等译.html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关键词搜索：https://www.jiaokey.com/tag/公共空间·公共生活.html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