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万国之子</w:t>
      </w:r>
    </w:p>
    <w:p>
      <w:r>
        <w:rPr>
          <w:rFonts w:ascii="宋体" w:hAnsi="宋体" w:eastAsia="宋体"/>
          <w:sz w:val="24"/>
        </w:rPr>
        <w:t>（印度尼西亚）普拉姆迪亚·阿南达·杜尔著；北京大学普·阿·杜尔研究组译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（印度尼西亚）普拉姆迪亚·阿南达·杜尔著；北京大学普·阿·杜尔研究组译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本书出售、求购地址：https://www.jiaokey.com/book/detail/11103344.html</w:t>
      </w:r>
    </w:p>
    <w:p>
      <w:r>
        <w:t>更多相关图书推荐：https://www.jiaokey.com</w:t>
      </w:r>
    </w:p>
    <w:p>
      <w:r>
        <w:t>（印度尼西亚）普拉姆迪亚·阿南达·杜尔著；北京大学普·阿·杜尔研究组译 其他作品：https://www.jiaokey.com/tag/（印度尼西亚）普拉姆迪亚·阿南达·杜尔著；北京大学普·阿·杜尔研究组译.html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关键词搜索：https://www.jiaokey.com/tag/万国之子.html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