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清洁发展机制</w:t>
      </w:r>
    </w:p>
    <w:p>
      <w:r>
        <w:rPr>
          <w:rFonts w:ascii="宋体" w:hAnsi="宋体" w:eastAsia="宋体"/>
          <w:sz w:val="24"/>
        </w:rPr>
        <w:t>联合国环境规划署（UNEP）能源与环境合作中心等编 姜克隽等译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清洁发展机制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联合国环境规划署（UNEP）能源与环境合作中心等编 姜克隽等译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本书出售、求购地址：https://www.jiaokey.com/book/detail/11101309.html</w:t>
      </w:r>
    </w:p>
    <w:p>
      <w:r>
        <w:t>更多相关图书推荐：https://www.jiaokey.com</w:t>
      </w:r>
    </w:p>
    <w:p>
      <w:r>
        <w:t>联合国环境规划署（UNEP）能源与环境合作中心等编 姜克隽等译 其他作品：https://www.jiaokey.com/tag/联合国环境规划署（UNEP）能源与环境合作中心等编 姜克隽等译.html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关键词搜索：https://www.jiaokey.com/tag/清洁发展机制.html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