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橡塑工业原材料国内外技术条件  上</w:t>
      </w:r>
    </w:p>
    <w:p>
      <w:r>
        <w:rPr>
          <w:rFonts w:ascii="宋体" w:hAnsi="宋体" w:eastAsia="宋体"/>
          <w:sz w:val="24"/>
        </w:rPr>
        <w:t>阎守义编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橡塑工业原材料国内外技术条件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阎守义编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北京橡胶制品研究所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本书出售、求购地址：https://www.jiaokey.com/book/detail/11098380.html</w:t>
      </w:r>
    </w:p>
    <w:p>
      <w:r>
        <w:t>更多相关图书推荐：https://www.jiaokey.com</w:t>
      </w:r>
    </w:p>
    <w:p>
      <w:r>
        <w:t>阎守义编 其他作品：https://www.jiaokey.com/tag/阎守义编.html</w:t>
      </w:r>
    </w:p>
    <w:p>
      <w:r>
        <w:t>北京橡胶制品研究所 出版图书：https://www.jiaokey.com/tag/北京橡胶制品研究所.html</w:t>
      </w:r>
    </w:p>
    <w:p>
      <w:r>
        <w:t>关键词搜索：https://www.jiaokey.com/tag/橡塑工业原材料国内外技术条件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