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清漆、熟油与油漆的生产</w:t>
      </w:r>
    </w:p>
    <w:p>
      <w:r>
        <w:rPr>
          <w:rFonts w:ascii="宋体" w:hAnsi="宋体" w:eastAsia="宋体"/>
          <w:sz w:val="24"/>
        </w:rPr>
        <w:t>В.С.基谢列夫，А.Ф.阿巴什基娜著；吴鹏鸣，蒋宪清，张玑合译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清漆、熟油与油漆的生产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В.С.基谢列夫，А.Ф.阿巴什基娜著；吴鹏鸣，蒋宪清，张玑合译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本书出售、求购地址：https://www.jiaokey.com/book/detail/11097536.html</w:t>
      </w:r>
    </w:p>
    <w:p>
      <w:r>
        <w:t>更多相关图书推荐：https://www.jiaokey.com</w:t>
      </w:r>
    </w:p>
    <w:p>
      <w:r>
        <w:t>В.С.基谢列夫，А.Ф.阿巴什基娜著；吴鹏鸣，蒋宪清，张玑合译 其他作品：https://www.jiaokey.com/tag/В.С.基谢列夫，А.Ф.阿巴什基娜著；吴鹏鸣，蒋宪清，张玑合译.html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关键词搜索：https://www.jiaokey.com/tag/清漆、熟油与油漆的生产.html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