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计算机编制及调整合同产品生产计划程序系统  评审公文件  第4部分  程序系统的操作</w:t>
      </w:r>
    </w:p>
    <w:p>
      <w:r>
        <w:rPr>
          <w:rFonts w:ascii="宋体" w:hAnsi="宋体" w:eastAsia="宋体"/>
          <w:sz w:val="24"/>
        </w:rPr>
        <w:t>上海机械学院，杭州汽轮机厂联合课题组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计算机编制及调整合同产品生产计划程序系统  评审公文件  第4部分  程序系统的操作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上海机械学院，杭州汽轮机厂联合课题组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本书出售、求购地址：https://www.jiaokey.com/book/detail/11095848.html</w:t>
      </w:r>
    </w:p>
    <w:p>
      <w:r>
        <w:t>更多相关图书推荐：https://www.jiaokey.com</w:t>
      </w:r>
    </w:p>
    <w:p>
      <w:r>
        <w:t>上海机械学院，杭州汽轮机厂联合课题组 其他作品：https://www.jiaokey.com/tag/上海机械学院，杭州汽轮机厂联合课题组.html</w:t>
      </w:r>
    </w:p>
    <w:p>
      <w:r>
        <w:t>关键词搜索：https://www.jiaokey.com/tag/计算机编制及调整合同产品生产计划程序系统  评审公文件  第4部分  程序系统的操作.html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