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石油化学分析  中  第7章  操作条件的选择</w:t>
      </w:r>
    </w:p>
    <w:p>
      <w:r>
        <w:rPr>
          <w:rFonts w:ascii="宋体" w:hAnsi="宋体" w:eastAsia="宋体"/>
          <w:sz w:val="24"/>
        </w:rPr>
        <w:t>南开大学化学系石油化学教研室编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石油化学分析  中  第7章  操作条件的选择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南开大学化学系石油化学教研室编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本书出售、求购地址：https://www.jiaokey.com/book/detail/11093743.html</w:t>
      </w:r>
    </w:p>
    <w:p>
      <w:r>
        <w:t>更多相关图书推荐：https://www.jiaokey.com</w:t>
      </w:r>
    </w:p>
    <w:p>
      <w:r>
        <w:t>南开大学化学系石油化学教研室编 其他作品：https://www.jiaokey.com/tag/南开大学化学系石油化学教研室编.html</w:t>
      </w:r>
    </w:p>
    <w:p>
      <w:r>
        <w:t>关键词搜索：https://www.jiaokey.com/tag/石油化学分析  中  第7章  操作条件的选择.html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