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发展微观经济学</w:t>
      </w:r>
    </w:p>
    <w:p>
      <w:r>
        <w:rPr>
          <w:rFonts w:ascii="宋体" w:hAnsi="宋体" w:eastAsia="宋体"/>
          <w:sz w:val="24"/>
        </w:rPr>
        <w:t>（美）普兰纳布·巴德汉（Pranab Bardhan），（美）克利斯托弗·尤迪（Christopher Udry）著；陶然等译（美国加州大学伯克利分校）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（美）普兰纳布·巴德汉（Pranab Bardhan），（美）克利斯托弗·尤迪（Christopher Udry）著；陶然等译（美国加州大学伯克利分校）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本书出售、求购地址：https://www.jiaokey.com/book/detail/11087969.html</w:t>
      </w:r>
    </w:p>
    <w:p>
      <w:r>
        <w:t>更多相关图书推荐：https://www.jiaokey.com</w:t>
      </w:r>
    </w:p>
    <w:p>
      <w:r>
        <w:t>（美）普兰纳布·巴德汉（Pranab Bardhan），（美）克利斯托弗·尤迪（Christopher Udry）著；陶然等译（美国加州大学伯克利分校） 其他作品：https://www.jiaokey.com/tag/（美）普兰纳布·巴德汉（Pranab Bardhan），（美）克利斯托弗·尤迪（Christopher Udry）著；陶然等译（美国加州大学伯克利分校）.html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