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常见鱼病防治手册</w:t>
      </w:r>
    </w:p>
    <w:p>
      <w:r>
        <w:rPr>
          <w:rFonts w:ascii="宋体" w:hAnsi="宋体" w:eastAsia="宋体"/>
          <w:sz w:val="24"/>
        </w:rPr>
        <w:t>中国农业银行农科教统筹与协调指导小组等主编；左文功，陈锦富编著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常见鱼病防治手册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中国农业银行农科教统筹与协调指导小组等主编；左文功，陈锦富编著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本书出售、求购地址：https://www.jiaokey.com/book/detail/11084281.html</w:t>
      </w:r>
    </w:p>
    <w:p>
      <w:r>
        <w:t>更多相关图书推荐：https://www.jiaokey.com</w:t>
      </w:r>
    </w:p>
    <w:p>
      <w:r>
        <w:t>中国农业银行农科教统筹与协调指导小组等主编；左文功，陈锦富编著 其他作品：https://www.jiaokey.com/tag/中国农业银行农科教统筹与协调指导小组等主编；左文功，陈锦富编著.html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关键词搜索：https://www.jiaokey.com/tag/常见鱼病防治手册.html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