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书名：差别化、规模化与专一化服务：21世纪名牌商标优势战略</w:t>
      </w:r>
    </w:p>
    <w:p>
      <w:r>
        <w:t>作者：白光编著</w:t>
      </w:r>
    </w:p>
    <w:p>
      <w:r>
        <w:t>出版社：北京：中国经济出版社</w:t>
      </w:r>
    </w:p>
    <w:p>
      <w:r>
        <w:t>出版日期：1999.06</w:t>
      </w:r>
    </w:p>
    <w:p>
      <w:r>
        <w:t>总页数：272</w:t>
      </w:r>
    </w:p>
    <w:p>
      <w:r>
        <w:t>更多请访问教客网: www.jiaokey.com</w:t>
      </w:r>
    </w:p>
    <w:p>
      <w:r>
        <w:t>差别化、规模化与专一化服务：21世纪名牌商标优势战略 评论地址：https://www.jiaokey.com/book/detail/11082383.html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