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冻结凿井法</w:t>
      </w:r>
    </w:p>
    <w:p>
      <w:r>
        <w:rPr>
          <w:rFonts w:ascii="宋体" w:hAnsi="宋体" w:eastAsia="宋体"/>
          <w:sz w:val="24"/>
        </w:rPr>
        <w:t>（苏）特鲁巴克（Н.Г.Трупак）著；北京矿业学院井巷工程教研组译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冻结凿井法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（苏）特鲁巴克（Н.Г.Трупак）著；北京矿业学院井巷工程教研组译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本书出售、求购地址：https://www.jiaokey.com/book/detail/11081179.html</w:t>
      </w:r>
    </w:p>
    <w:p>
      <w:r>
        <w:t>更多相关图书推荐：https://www.jiaokey.com</w:t>
      </w:r>
    </w:p>
    <w:p>
      <w:r>
        <w:t>（苏）特鲁巴克（Н.Г.Трупак）著；北京矿业学院井巷工程教研组译 其他作品：https://www.jiaokey.com/tag/（苏）特鲁巴克（Н.Г.Трупак）著；北京矿业学院井巷工程教研组译.html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关键词搜索：https://www.jiaokey.com/tag/冻结凿井法.html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