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发电厂与变电所厂址选择</w:t>
      </w:r>
    </w:p>
    <w:p>
      <w:r>
        <w:rPr>
          <w:rFonts w:ascii="宋体" w:hAnsi="宋体" w:eastAsia="宋体"/>
          <w:sz w:val="24"/>
        </w:rPr>
        <w:t>（苏）拉齐克（В.А.Радциг）撰；中央人民政府燃料工业部电业管理总局东北电业管理局设计处译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发电厂与变电所厂址选择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（苏）拉齐克（В.А.Радциг）撰；中央人民政府燃料工业部电业管理总局东北电业管理局设计处译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本书出售、求购地址：https://www.jiaokey.com/book/detail/11080606.html</w:t>
      </w:r>
    </w:p>
    <w:p>
      <w:r>
        <w:t>更多相关图书推荐：https://www.jiaokey.com</w:t>
      </w:r>
    </w:p>
    <w:p>
      <w:r>
        <w:t>（苏）拉齐克（В.А.Радциг）撰；中央人民政府燃料工业部电业管理总局东北电业管理局设计处译 其他作品：https://www.jiaokey.com/tag/（苏）拉齐克（В.А.Радциг）撰；中央人民政府燃料工业部电业管理总局东北电业管理局设计处译.html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关键词搜索：https://www.jiaokey.com/tag/发电厂与变电所厂址选择.html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