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企业经营案例实录  来自著名企业内部的管理、营销、公关、资本案例</w:t>
      </w:r>
    </w:p>
    <w:p>
      <w:r>
        <w:rPr>
          <w:rFonts w:ascii="宋体" w:hAnsi="宋体" w:eastAsia="宋体"/>
          <w:sz w:val="24"/>
        </w:rPr>
        <w:t>21，世纪人才报社主编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企业经营案例实录  来自著名企业内部的管理、营销、公关、资本案例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21，世纪人才报社主编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本书出售、求购地址：https://www.jiaokey.com/book/detail/11073530.html</w:t>
      </w:r>
    </w:p>
    <w:p>
      <w:r>
        <w:t>更多相关图书推荐：https://www.jiaokey.com</w:t>
      </w:r>
    </w:p>
    <w:p>
      <w:r>
        <w:t>21，世纪人才报社主编 其他作品：https://www.jiaokey.com/tag/21，世纪人才报社主编.html</w:t>
      </w:r>
    </w:p>
    <w:p>
      <w:r>
        <w:t>浦东电子出版社 出版图书：https://www.jiaokey.com/tag/浦东电子出版社.html</w:t>
      </w:r>
    </w:p>
    <w:p>
      <w:r>
        <w:t>关键词搜索：https://www.jiaokey.com/tag/企业经营案例实录  来自著名企业内部的管理、营销、公关、资本案例.html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