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机电一体化原理和应用  上</w:t>
      </w:r>
    </w:p>
    <w:p>
      <w:r>
        <w:rPr>
          <w:rFonts w:ascii="宋体" w:hAnsi="宋体" w:eastAsia="宋体"/>
          <w:sz w:val="24"/>
        </w:rPr>
        <w:t>杨俊，王麟森，黄桂生编译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机电一体化原理和应用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杨俊，王麟森，黄桂生编译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本书出售、求购地址：https://www.jiaokey.com/book/detail/11066037.html</w:t>
      </w:r>
    </w:p>
    <w:p>
      <w:r>
        <w:t>更多相关图书推荐：https://www.jiaokey.com</w:t>
      </w:r>
    </w:p>
    <w:p>
      <w:r>
        <w:t>杨俊，王麟森，黄桂生编译 其他作品：https://www.jiaokey.com/tag/杨俊，王麟森，黄桂生编译.html</w:t>
      </w:r>
    </w:p>
    <w:p>
      <w:r>
        <w:t>西安电子科技大学情报资料室 出版图书：https://www.jiaokey.com/tag/西安电子科技大学情报资料室.html</w:t>
      </w:r>
    </w:p>
    <w:p>
      <w:r>
        <w:t>关键词搜索：https://www.jiaokey.com/tag/机电一体化原理和应用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