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汽车零件的镀钢修复法</w:t>
      </w:r>
    </w:p>
    <w:p>
      <w:r>
        <w:rPr>
          <w:rFonts w:ascii="宋体" w:hAnsi="宋体" w:eastAsia="宋体"/>
          <w:sz w:val="24"/>
        </w:rPr>
        <w:t>（苏）美耳科夫（М.П.Мелков）著；李信之，翟所遇译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汽车零件的镀钢修复法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（苏）美耳科夫（М.П.Мелков）著；李信之，翟所遇译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本书出售、求购地址：https://www.jiaokey.com/book/detail/11065854.html</w:t>
      </w:r>
    </w:p>
    <w:p>
      <w:r>
        <w:t>更多相关图书推荐：https://www.jiaokey.com</w:t>
      </w:r>
    </w:p>
    <w:p>
      <w:r>
        <w:t>（苏）美耳科夫（М.П.Мелков）著；李信之，翟所遇译 其他作品：https://www.jiaokey.com/tag/（苏）美耳科夫（М.П.Мелков）著；李信之，翟所遇译.html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关键词搜索：https://www.jiaokey.com/tag/汽车零件的镀钢修复法.html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