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径流式涡轮机械导风轮的设计与加工</w:t>
      </w:r>
    </w:p>
    <w:p>
      <w:r>
        <w:rPr>
          <w:rFonts w:ascii="宋体" w:hAnsi="宋体" w:eastAsia="宋体"/>
          <w:sz w:val="24"/>
        </w:rPr>
        <w:t>李燕生编著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径流式涡轮机械导风轮的设计与加工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本书出售、求购地址：https://www.jiaokey.com/book/detail/11065575.html</w:t>
      </w:r>
    </w:p>
    <w:p>
      <w:r>
        <w:t>更多相关图书推荐：https://www.jiaokey.com</w:t>
      </w:r>
    </w:p>
    <w:p>
      <w:r>
        <w:t>李燕生编著 其他作品：https://www.jiaokey.com/tag/李燕生编著.html</w:t>
      </w:r>
    </w:p>
    <w:p>
      <w:r>
        <w:t>关键词搜索：https://www.jiaokey.com/tag/径流式涡轮机械导风轮的设计与加工.html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