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铸铁暖气散热器的生产</w:t>
      </w:r>
    </w:p>
    <w:p>
      <w:r>
        <w:rPr>
          <w:rFonts w:ascii="宋体" w:hAnsi="宋体" w:eastAsia="宋体"/>
          <w:sz w:val="24"/>
        </w:rPr>
        <w:t>（苏）巴利诺夫，Н.А，沃尔科夫，В.И.著；乌斯契诺夫，М.А.编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铸铁暖气散热器的生产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（苏）巴利诺夫，Н.А，沃尔科夫，В.И.著；乌斯契诺夫，М.А.编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本书出售、求购地址：https://www.jiaokey.com/book/detail/11065473.html</w:t>
      </w:r>
    </w:p>
    <w:p>
      <w:r>
        <w:t>更多相关图书推荐：https://www.jiaokey.com</w:t>
      </w:r>
    </w:p>
    <w:p>
      <w:r>
        <w:t>（苏）巴利诺夫，Н.А，沃尔科夫，В.И.著；乌斯契诺夫，М.А.编 其他作品：https://www.jiaokey.com/tag/（苏）巴利诺夫，Н.А，沃尔科夫，В.И.著；乌斯契诺夫，М.А.编.html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关键词搜索：https://www.jiaokey.com/tag/铸铁暖气散热器的生产.html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