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制冷机及制冷设备</w:t>
      </w:r>
    </w:p>
    <w:p>
      <w:r>
        <w:rPr>
          <w:rFonts w:ascii="宋体" w:hAnsi="宋体" w:eastAsia="宋体"/>
          <w:sz w:val="24"/>
        </w:rPr>
        <w:t>（苏）罗静斐利特，Л.М.，（苏）特卡切夫，А.Г.著；南京工学院热工教研组译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制冷机及制冷设备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（苏）罗静斐利特，Л.М.，（苏）特卡切夫，А.Г.著；南京工学院热工教研组译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本书出售、求购地址：https://www.jiaokey.com/book/detail/11065440.html</w:t>
      </w:r>
    </w:p>
    <w:p>
      <w:r>
        <w:t>更多相关图书推荐：https://www.jiaokey.com</w:t>
      </w:r>
    </w:p>
    <w:p>
      <w:r>
        <w:t>（苏）罗静斐利特，Л.М.，（苏）特卡切夫，А.Г.著；南京工学院热工教研组译 其他作品：https://www.jiaokey.com/tag/（苏）罗静斐利特，Л.М.，（苏）特卡切夫，А.Г.著；南京工学院热工教研组译.html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关键词搜索：https://www.jiaokey.com/tag/制冷机及制冷设备.html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