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涡轮喷气发动机调节系统和供油系统</w:t>
      </w:r>
    </w:p>
    <w:p>
      <w:r>
        <w:rPr>
          <w:rFonts w:ascii="宋体" w:hAnsi="宋体" w:eastAsia="宋体"/>
          <w:sz w:val="24"/>
        </w:rPr>
        <w:t>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涡轮喷气发动机调节系统和供油系统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国际航空杂志社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本书出售、求购地址：https://www.jiaokey.com/book/detail/11065005.html</w:t>
      </w:r>
    </w:p>
    <w:p>
      <w:r>
        <w:t>更多相关图书推荐：https://www.jiaokey.com</w:t>
      </w:r>
    </w:p>
    <w:p>
      <w:r>
        <w:t>北京航空学院编 其他作品：https://www.jiaokey.com/tag/北京航空学院编.html</w:t>
      </w:r>
    </w:p>
    <w:p>
      <w:r>
        <w:t>国际航空杂志社 出版图书：https://www.jiaokey.com/tag/国际航空杂志社.html</w:t>
      </w:r>
    </w:p>
    <w:p>
      <w:r>
        <w:t>关键词搜索：https://www.jiaokey.com/tag/涡轮喷气发动机调节系统和供油系统.html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