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领导行为与赢利能力  打破管理常规  创作无限利润</w:t>
      </w:r>
    </w:p>
    <w:p>
      <w:r>
        <w:rPr>
          <w:rFonts w:ascii="宋体" w:hAnsi="宋体" w:eastAsia="宋体"/>
          <w:sz w:val="24"/>
        </w:rPr>
        <w:t>（美）莱思利·威尔克·伯莱克思克（Leslie Wilk Braksick）著；罗晓军等译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领导行为与赢利能力  打破管理常规  创作无限利润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（美）莱思利·威尔克·伯莱克思克（Leslie Wilk Braksick）著；罗晓军等译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本书出售、求购地址：https://www.jiaokey.com/book/detail/11062007.html</w:t>
      </w:r>
    </w:p>
    <w:p>
      <w:r>
        <w:t>更多相关图书推荐：https://www.jiaokey.com</w:t>
      </w:r>
    </w:p>
    <w:p>
      <w:r>
        <w:t>（美）莱思利·威尔克·伯莱克思克（Leslie Wilk Braksick）著；罗晓军等译 其他作品：https://www.jiaokey.com/tag/（美）莱思利·威尔克·伯莱克思克（Leslie Wilk Braksick）著；罗晓军等译.html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关键词搜索：https://www.jiaokey.com/tag/领导行为与赢利能力  打破管理常规  创作无限利润.html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