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圆锥齿轮传动的啮合要素</w:t>
      </w:r>
    </w:p>
    <w:p>
      <w:r>
        <w:rPr>
          <w:rFonts w:ascii="宋体" w:hAnsi="宋体" w:eastAsia="宋体"/>
          <w:sz w:val="24"/>
        </w:rPr>
        <w:t>（苏）柯魏尔佳叶夫（Н.С.Ковердяев），（苏）（С.В.Потаскаев）著；吴克敏，张和豪译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圆锥齿轮传动的啮合要素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（苏）柯魏尔佳叶夫（Н.С.Ковердяев），（苏）（С.В.Потаскаев）著；吴克敏，张和豪译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本书出售、求购地址：https://www.jiaokey.com/book/detail/11059813.html</w:t>
      </w:r>
    </w:p>
    <w:p>
      <w:r>
        <w:t>更多相关图书推荐：https://www.jiaokey.com</w:t>
      </w:r>
    </w:p>
    <w:p>
      <w:r>
        <w:t>（苏）柯魏尔佳叶夫（Н.С.Ковердяев），（苏）（С.В.Потаскаев）著；吴克敏，张和豪译 其他作品：https://www.jiaokey.com/tag/（苏）柯魏尔佳叶夫（Н.С.Ковердяев），（苏）（С.В.Потаскаев）著；吴克敏，张和豪译.html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关键词搜索：https://www.jiaokey.com/tag/圆锥齿轮传动的啮合要素.html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